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E2" w:rsidRDefault="00216D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DE2" w:rsidRDefault="00950FA5">
      <w:pPr>
        <w:jc w:val="right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drawing>
          <wp:inline distT="0" distB="0" distL="114300" distR="114300">
            <wp:extent cx="1473200" cy="2119630"/>
            <wp:effectExtent l="0" t="0" r="0" b="0"/>
            <wp:docPr id="2" name="image1.jpg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G_256"/>
                    <pic:cNvPicPr preferRelativeResize="0"/>
                  </pic:nvPicPr>
                  <pic:blipFill>
                    <a:blip r:embed="rId6"/>
                    <a:srcRect l="29948" t="2479" r="33698" b="45218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2119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7B94" w:rsidRDefault="00B07B94" w:rsidP="00B07B94">
      <w:pPr>
        <w:rPr>
          <w:rFonts w:ascii="Times New Roman" w:eastAsia="Times New Roman" w:hAnsi="Times New Roman" w:cs="Times New Roman"/>
          <w:sz w:val="22"/>
          <w:szCs w:val="22"/>
          <w:lang w:val="kk-KZ"/>
        </w:rPr>
      </w:pPr>
      <w:proofErr w:type="spellStart"/>
      <w:r w:rsidRPr="00950FA5">
        <w:rPr>
          <w:rFonts w:ascii="Times New Roman" w:eastAsia="Times New Roman" w:hAnsi="Times New Roman" w:cs="Times New Roman"/>
          <w:sz w:val="22"/>
          <w:szCs w:val="22"/>
        </w:rPr>
        <w:t>Джарылгасов</w:t>
      </w:r>
      <w:proofErr w:type="spellEnd"/>
      <w:r w:rsidRPr="00950F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50FA5">
        <w:rPr>
          <w:rFonts w:ascii="Times New Roman" w:eastAsia="Times New Roman" w:hAnsi="Times New Roman" w:cs="Times New Roman"/>
          <w:sz w:val="22"/>
          <w:szCs w:val="22"/>
        </w:rPr>
        <w:t>Эркебай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val="kk-KZ"/>
        </w:rPr>
        <w:t>,</w:t>
      </w:r>
    </w:p>
    <w:p w:rsidR="00B07B94" w:rsidRDefault="00B07B94" w:rsidP="00B07B94">
      <w:pPr>
        <w:rPr>
          <w:rFonts w:ascii="Times New Roman" w:eastAsia="Times New Roman" w:hAnsi="Times New Roman" w:cs="Times New Roman"/>
          <w:sz w:val="22"/>
          <w:szCs w:val="22"/>
          <w:lang w:val="kk-KZ"/>
        </w:rPr>
      </w:pPr>
      <w:r w:rsidRPr="00B07B94">
        <w:rPr>
          <w:rFonts w:ascii="Times New Roman" w:eastAsia="Times New Roman" w:hAnsi="Times New Roman" w:cs="Times New Roman"/>
          <w:sz w:val="22"/>
          <w:szCs w:val="22"/>
          <w:lang w:val="kk-KZ"/>
        </w:rPr>
        <w:t>№ 24 мектеп-лицейі</w:t>
      </w: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>нің математика пәні мұғалімі.</w:t>
      </w:r>
    </w:p>
    <w:p w:rsidR="00B07B94" w:rsidRPr="00B07B94" w:rsidRDefault="00B07B94" w:rsidP="00B07B94">
      <w:pPr>
        <w:rPr>
          <w:rFonts w:ascii="Times New Roman" w:eastAsia="Times New Roman" w:hAnsi="Times New Roman" w:cs="Times New Roman"/>
          <w:sz w:val="22"/>
          <w:szCs w:val="22"/>
          <w:lang w:val="kk-KZ"/>
        </w:rPr>
      </w:pPr>
      <w:r w:rsidRPr="00B07B94"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Маңғыстау облысы Жаңа өзен қаласы </w:t>
      </w:r>
    </w:p>
    <w:p w:rsidR="00B07B94" w:rsidRDefault="00B07B94" w:rsidP="00B07B94">
      <w:pPr>
        <w:rPr>
          <w:rFonts w:ascii="Times New Roman" w:eastAsia="Times New Roman" w:hAnsi="Times New Roman" w:cs="Times New Roman"/>
          <w:sz w:val="22"/>
          <w:szCs w:val="22"/>
          <w:lang w:val="kk-KZ"/>
        </w:rPr>
      </w:pPr>
    </w:p>
    <w:p w:rsidR="00216DE2" w:rsidRPr="00B07B94" w:rsidRDefault="00B07B94">
      <w:pPr>
        <w:jc w:val="right"/>
        <w:rPr>
          <w:rFonts w:ascii="Times New Roman" w:eastAsia="Times New Roman" w:hAnsi="Times New Roman" w:cs="Times New Roman"/>
          <w:sz w:val="22"/>
          <w:szCs w:val="22"/>
          <w:lang w:val="kk-KZ"/>
        </w:rPr>
      </w:pPr>
      <w:r w:rsidRPr="00B07B94"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</w:p>
    <w:p w:rsidR="00216DE2" w:rsidRPr="00B07B94" w:rsidRDefault="00216DE2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val="kk-KZ"/>
        </w:rPr>
      </w:pPr>
    </w:p>
    <w:p w:rsidR="00216DE2" w:rsidRPr="00B07B94" w:rsidRDefault="00950FA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val="kk-KZ"/>
        </w:rPr>
      </w:pPr>
      <w:bookmarkStart w:id="0" w:name="_heading=h.gjdgxs" w:colFirst="0" w:colLast="0"/>
      <w:bookmarkEnd w:id="0"/>
      <w:r w:rsidRPr="00B07B94">
        <w:rPr>
          <w:rFonts w:ascii="Times New Roman" w:eastAsia="Times New Roman" w:hAnsi="Times New Roman" w:cs="Times New Roman"/>
          <w:b/>
          <w:sz w:val="22"/>
          <w:szCs w:val="22"/>
          <w:lang w:val="kk-KZ"/>
        </w:rPr>
        <w:t>Симметрия және пропорциялар сияқты өнердің мат</w:t>
      </w:r>
      <w:r w:rsidR="00B07B94">
        <w:rPr>
          <w:rFonts w:ascii="Times New Roman" w:eastAsia="Times New Roman" w:hAnsi="Times New Roman" w:cs="Times New Roman"/>
          <w:b/>
          <w:sz w:val="22"/>
          <w:szCs w:val="22"/>
          <w:lang w:val="kk-KZ"/>
        </w:rPr>
        <w:t>ематикалық принциптерін зерттеу</w:t>
      </w:r>
    </w:p>
    <w:p w:rsidR="00216DE2" w:rsidRPr="00B07B94" w:rsidRDefault="00216DE2">
      <w:pPr>
        <w:jc w:val="both"/>
        <w:rPr>
          <w:rFonts w:ascii="Times New Roman" w:eastAsia="Times New Roman" w:hAnsi="Times New Roman" w:cs="Times New Roman"/>
          <w:sz w:val="22"/>
          <w:szCs w:val="22"/>
          <w:lang w:val="kk-KZ"/>
        </w:rPr>
      </w:pPr>
    </w:p>
    <w:p w:rsidR="00216DE2" w:rsidRPr="00B07B94" w:rsidRDefault="00950FA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Бір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қарағанда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әр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түрлі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білім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салалары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болып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көрінетін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өнер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математика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бір-бірімен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тығыз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байланысты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07B94">
        <w:rPr>
          <w:rFonts w:ascii="Times New Roman" w:eastAsia="Times New Roman" w:hAnsi="Times New Roman" w:cs="Times New Roman"/>
          <w:sz w:val="22"/>
          <w:szCs w:val="22"/>
        </w:rPr>
        <w:t>Симметрия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пропорциялар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сияқты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математикалық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принциптер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өнер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туындыларын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жасауда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түсінуде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маңызды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рөл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атқарады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07B94">
        <w:rPr>
          <w:rFonts w:ascii="Times New Roman" w:eastAsia="Times New Roman" w:hAnsi="Times New Roman" w:cs="Times New Roman"/>
          <w:sz w:val="22"/>
          <w:szCs w:val="22"/>
        </w:rPr>
        <w:t>Бұл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мақалада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біз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бұл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принциптердің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өнердің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әртүрлі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түрлерінде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қалай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қолданылатынын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оларды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зерттеу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білім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беру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процесін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қалай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байыта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алатынын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07B94">
        <w:rPr>
          <w:rFonts w:ascii="Times New Roman" w:eastAsia="Times New Roman" w:hAnsi="Times New Roman" w:cs="Times New Roman"/>
          <w:sz w:val="22"/>
          <w:szCs w:val="22"/>
        </w:rPr>
        <w:t>қарастырамыз</w:t>
      </w:r>
      <w:proofErr w:type="spellEnd"/>
      <w:r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Өнердегі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принциптердің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маңызы</w:t>
      </w:r>
      <w:proofErr w:type="spell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өнердегі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көрнекі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тәртіп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үйлесімділікке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негіз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береді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Симметрия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пропорция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принциптері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суретшілер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дизайнерлерге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біздің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сезіміміз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қабылдауымызға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әсер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ететін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эстетикалық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тартымды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туындыларын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жасауға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көмектеседі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Симметрия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пропорциялар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сияқты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негізгі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аспектілерге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шолу</w:t>
      </w:r>
      <w:proofErr w:type="spell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Мақала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барысында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біз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өнер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контекстіндегі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екі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негізгі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математикалық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принципті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қарастырамыз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: симметрия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пропорциялар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Олардың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әртүрлі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өнер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жанрларында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қалай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қолданылатынын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оларды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түсіну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шығармашылық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процесте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де,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білім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беру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қызметінде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де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қалай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көмектесетіні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н</w:t>
      </w:r>
      <w:proofErr w:type="spellEnd"/>
      <w:proofErr w:type="gram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қарастырыңыз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.</w:t>
      </w:r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Мұндай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кі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р</w:t>
      </w:r>
      <w:proofErr w:type="gram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іспе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оқырмандарға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мақалада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не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талқыланатынын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өнердің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математикалық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принциптерін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үйрену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неліктен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маңызды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қызықты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екенін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түсінуге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көмектеседі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.</w:t>
      </w:r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Симметрия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ұғымы</w:t>
      </w:r>
      <w:proofErr w:type="spell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- Симметрия-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оське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жазық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ты</w:t>
      </w:r>
      <w:proofErr w:type="gram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ққа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немесе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нүктеге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қатысты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екі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бөлік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арасындағы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сәйкестікті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немесе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теңдікті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сипаттайтын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ұғым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Өнерде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симметрия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көбінесе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шығармаларда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тепе-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теңдік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пен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үйлесімділік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жасау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үшін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қолданылады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.</w:t>
      </w:r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Өнердің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әртүрлі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түрлеріндегі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симметрия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мысалдары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: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кескіндеме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сәулет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м</w:t>
      </w:r>
      <w:proofErr w:type="gram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үсін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дизайн</w:t>
      </w:r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Кескіндемеде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симметрия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элементтерді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кенепке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симметриялы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орналастыру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арқылы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немесе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п</w:t>
      </w:r>
      <w:proofErr w:type="gram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ішіндер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мен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сызықтардың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шағылысуы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арқылы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көрінуі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мүмкін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.</w:t>
      </w:r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Архитектурада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симметрияны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ғимараттардың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қасбеттердің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немесе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сәндік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элементтердің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симметриялы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орналасуында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байқ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ау</w:t>
      </w:r>
      <w:proofErr w:type="gram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болады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.</w:t>
      </w:r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Мүсінде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симметрияны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керемет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симметриялы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фигуралар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жасау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немесе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композицияны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теңестіру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үшін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олдану</w:t>
      </w:r>
      <w:proofErr w:type="gram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болады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.</w:t>
      </w:r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lastRenderedPageBreak/>
        <w:t xml:space="preserve"> </w:t>
      </w:r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Дизайнда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симметрия веб-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дизайнда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графикалық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дизайнда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немесе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сән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дизайнында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болсын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теңдесті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р</w:t>
      </w:r>
      <w:proofErr w:type="gram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ілген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үйлесімді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композициялар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жасауда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маңызды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рөл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атқарады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.</w:t>
      </w:r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Симметрияның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математикалық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негіздері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оларды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өнерде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қолдану</w:t>
      </w:r>
      <w:proofErr w:type="spell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Математикада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симметрияны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аударма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бұрылыс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рефлексия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ұғымдары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арқылы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ресімдеуге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болады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.</w:t>
      </w:r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Бұ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л</w:t>
      </w:r>
      <w:proofErr w:type="spellEnd"/>
      <w:proofErr w:type="gram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математикалық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принциптер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өнерде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геометриялық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фигуралар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мен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пропорцияларды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қолдана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отырып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симметриялы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композициялар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жасау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үшін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қолданылады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.</w:t>
      </w:r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Мысал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ретінде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симметрияны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о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ю-</w:t>
      </w:r>
      <w:proofErr w:type="gram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өрнекте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немесе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тұрақты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өрнектер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жасауда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қолдануға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болады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.</w:t>
      </w:r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Симметрияның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өнерді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абылдау</w:t>
      </w:r>
      <w:proofErr w:type="gram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әсері</w:t>
      </w:r>
      <w:proofErr w:type="spell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- Симметрия тепе-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теңдік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үйлесімділік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тәрті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п</w:t>
      </w:r>
      <w:proofErr w:type="spellEnd"/>
      <w:proofErr w:type="gram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сезімін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тудыратын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өнер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туындыларын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қабылдауға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қатты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әсер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етуі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мүмкін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.</w:t>
      </w:r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Симметриялы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формаларды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қолдану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көрерменнің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назарын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аударып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шығарманың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әсерін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к</w:t>
      </w:r>
      <w:proofErr w:type="gram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үшейте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алады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.</w:t>
      </w:r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Алайда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тым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қатаң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симметрия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жұмыста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статикалық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немесе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өзіндік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болмау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сезімін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тудыруы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мүмкін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.</w:t>
      </w:r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Бұл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бөлім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симметрияны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өнердегі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маңызды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математикалық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принцип,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оның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әртүрлі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формалары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шығармаларды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абылдау</w:t>
      </w:r>
      <w:proofErr w:type="gram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әсері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ретінде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егжей-тегжейлі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зерттейді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.</w:t>
      </w:r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Өнердегі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пропорциялардың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мәні</w:t>
      </w:r>
      <w:proofErr w:type="spell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Пропорциялар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өнер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туындыларында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тепе-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теңдік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пен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үйлесімділікті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қалыптастыруда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шешуші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р</w:t>
      </w:r>
      <w:proofErr w:type="gram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өл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>атқарады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Олар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шығарманың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эстетикалық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тартымдылығын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қамтамасыз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ете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отырып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оның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әртүрлі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бөліктері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арасындағы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байланысты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анықтайды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Әр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түрлі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жанрларында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пропорцияларды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қолдану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мысалдары</w:t>
      </w:r>
      <w:proofErr w:type="spell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Кескіндемеде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пропорциялар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композицияның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визуалды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тепе-теңдігін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қамтамасыз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ете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отырып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кенептегі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заттардың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орналасуы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өлшемдерін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анықтай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алады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Архитектурада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пропорциялар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ғимараттар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құрылыстардың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үйлесімді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пропорционалды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формаларын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жасау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үшін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қолданылады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Мүсінде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пропорциялар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фигуралардың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пішіні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өлшемдерін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анықтайды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олардың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эстетикалық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экспрессивтілігін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қамтамасыз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етеді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Дизайнда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пропорциялар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теңдестірілген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функционалды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өнімдер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объектілерді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құруда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маңызды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рөл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атқарады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Өнердегі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пропорциялардың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модельдері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Алтын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қатынас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Фибоначчи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тізбегі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басқалар</w:t>
      </w:r>
      <w:proofErr w:type="spell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Алтын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қатынас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бұл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үйлесімді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тартымды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композициялар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жасау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үшін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өнерде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кеңінен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қолданылатын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пропорция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Ол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екі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бөліктің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қатынасы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ретінде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анықталады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мұнда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кішіден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үлкенге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қатынасы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үлкеннің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екі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бөлікке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қатынасына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тең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Фибоначчи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тізбегі-бұл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әрбір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келесі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Сан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алдыңғы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екі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санның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қосындысына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тең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болатын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сандық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реттілік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Бұл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дәйектілік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өнерде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әсіресе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сәулет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дизайнда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оның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үйлесімді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қасиеттеріне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байланысты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жиі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кездеседі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Пропорциялардың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туындыларын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эстетикалық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қабылдауға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әсері</w:t>
      </w:r>
      <w:proofErr w:type="spell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Пропорциялар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туындыларын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эстетикалық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қабылдауға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айтарлықтай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әсер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етеді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олардың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көрнекі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тартымдылығы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үйлесімділігін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анықтайды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Дұрыс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пропорцияларды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пайдалану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тепе-теңдік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тәртіп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сезімін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тудыруы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мүмкін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ал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пропорциялардың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бұзылуы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визуалды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дисгармониялық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қабылдауды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тудыруы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мүмкін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Пропорциялар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көрерменге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психологиялық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әсер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етіп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оның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туындысына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эмоционалды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реакциясына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әсер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етуі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мүмкін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spellStart"/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Бұл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бөлім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өнердегі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пропорциялардың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рөлін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олардың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модельдерін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шығармаларды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қабылдауға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әсерін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егжей-тегжейлі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қарастырады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lastRenderedPageBreak/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Математиканы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оқудың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суретшілер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дизайнерлер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үшін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маңызы</w:t>
      </w:r>
      <w:proofErr w:type="spell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суретшілер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дизайнерлерді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талдауға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түсінуге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туындыларын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жасауға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арналған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құралдармен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қамтамасыз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етуде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шешуші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рөл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атқарады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Симметрия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пропорциялар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сияқты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принциптерді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түсіну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суретшілерге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эстетикалық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тартымды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туындылар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жасауға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көмектеседі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Дизайнерлер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үшін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үйлесімді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функционалды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дизайн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шешімдерін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жасауға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негіз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болады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Білім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берудегі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көркемдік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талғамды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дамытудағы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принциптердің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рөлі</w:t>
      </w:r>
      <w:proofErr w:type="spell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контекстіндегі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принциптерді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зерттеу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студенттердің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көркемдік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талғамын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дамытуға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көмектеседі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оларды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туындыларындағы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Сұлулық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үйлесімділікті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тануға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бағалауға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үйретеді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туындыларының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негізінде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жатқан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заңдылықтарды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түсіну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олардың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мазмұны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құндылығын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тереңірек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түсінуге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ықпал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етеді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Оқу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процесінде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біріктіретін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есептер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жобалардың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мысалдары</w:t>
      </w:r>
      <w:proofErr w:type="spell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біріктіретін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тапсырмалар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жобаларды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әзірлеу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шығармашылық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ойлауды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ынталандырады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екі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пәннің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түсінігін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жақсартады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Мысалдарға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симметрия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пропорцияларды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қолдана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отырып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геометриялық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өрнектер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жасау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заңдылықтар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тұрғысынан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туындыларын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талдау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модельдерге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негізделген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дизайн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жобаларын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әзірлеу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кіруі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мүмкін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spellStart"/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Бұл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бөлім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дизайн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саласындағы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студенттер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кәсіпқойлар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үшін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математиканы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оқудың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маңыздылығын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сонымен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қатар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оқу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процесінде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біріктіретін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практикалық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есептер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жобалардың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мысалдарын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көрсетеді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Қорытындылай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келе</w:t>
      </w:r>
      <w:proofErr w:type="spell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Бұл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мақалада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біз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өнердегі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симметрия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пропорциялар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сияқты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принциптердің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маңыздылығын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қарастырдық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Біз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бұл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принциптердің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кескіндеме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сәулет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мүсін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дизайн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сияқты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өнердің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әртүрлі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салаларында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кеңінен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қолданылғанын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олардың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шығармаларды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эстетикалық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қабылдауға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қалай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әсер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ететінін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көрдік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Осы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саладағы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әрі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қарайғы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зерттеулердің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болашағын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талқылау</w:t>
      </w:r>
      <w:proofErr w:type="spell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Өнердің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принциптерінің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білім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берумен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байланысы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саласындағы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одан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әрі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зерттеу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мүмкіндіктері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кең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болып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қала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береді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Неғұрлым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күрделі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тұжырымдамаларды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олардың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қазіргі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заманғы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өнерде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қолданылуын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зерттеуге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сондай-ақ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оқу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процесінде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біріктіретін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оқытудың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жаңа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әдістерін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жасауға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болады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  <w:lang w:val="kk-KZ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білім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үшін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принциптердің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маңыздылығы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туралы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қорытынды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ескертулер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r w:rsidR="00950FA5" w:rsidRPr="00B07B94"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- Математикалық принциптерді зерттеу және оларды өнерде қолдану шығармашылық пен эстетикалық қабылдаудың дамуына ықпал етіп қана қоймайды, сонымен қатар математиканың өзін түсінуді тереңдетеді. </w:t>
      </w:r>
      <w:proofErr w:type="spellStart"/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Бұл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студенттерге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әртүрлі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білім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салалары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арасындағы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байланысты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көруге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оларды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практикалық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жағдайларда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қолдануға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мүмкіндік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беретін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пәнаралық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оқыту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әдістерін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енгізудің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маңыздылығын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көрсетеді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B07B94" w:rsidP="00B07B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kk-KZ"/>
        </w:rPr>
        <w:t xml:space="preserve"> </w:t>
      </w:r>
      <w:bookmarkStart w:id="1" w:name="_GoBack"/>
      <w:bookmarkEnd w:id="1"/>
      <w:proofErr w:type="spellStart"/>
      <w:proofErr w:type="gram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Қорытындылай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келе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негізгі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идеяларды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қорытындылайды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әрі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қарай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зерттеу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мүмкіндіктерін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талқылайды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және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өнер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мен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білім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үшін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математикалық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принциптерді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зерттеудің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маңыздылығын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атап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көрсетеді</w:t>
      </w:r>
      <w:proofErr w:type="spellEnd"/>
      <w:r w:rsidR="00950FA5" w:rsidRPr="00B07B94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216DE2" w:rsidRPr="00B07B94" w:rsidRDefault="00216DE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216DE2" w:rsidRPr="00B07B94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6DE2"/>
    <w:rsid w:val="00216DE2"/>
    <w:rsid w:val="00950FA5"/>
    <w:rsid w:val="00B0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kk-KZ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50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FA5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kk-KZ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50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FA5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hJFktoKaemlfiILjreT71emwqw==">CgMxLjAyCGguZ2pkZ3hzOAByITFuTzYtZjVxVDBZRlVpSzNpQVZTQWllSmJIZGt3RmVIYQ==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Feruza</cp:lastModifiedBy>
  <cp:revision>3</cp:revision>
  <dcterms:created xsi:type="dcterms:W3CDTF">2024-03-14T19:50:00Z</dcterms:created>
  <dcterms:modified xsi:type="dcterms:W3CDTF">2024-06-06T11:14:00Z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6C5A999D07EC4E0D969755EA3EF27A2E_11</vt:lpwstr>
  </property>
</Properties>
</file>